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EF" w:rsidRPr="00905776" w:rsidRDefault="00486CEF" w:rsidP="00486CEF">
      <w:pPr>
        <w:spacing w:after="0" w:line="240" w:lineRule="auto"/>
        <w:jc w:val="center"/>
        <w:rPr>
          <w:rFonts w:ascii="Verdana" w:hAnsi="Verdana"/>
          <w:b/>
        </w:rPr>
      </w:pPr>
      <w:r w:rsidRPr="00905776">
        <w:rPr>
          <w:rFonts w:ascii="Verdana" w:hAnsi="Verdana"/>
          <w:b/>
        </w:rPr>
        <w:t>GOVERNMENT OF ANDHRA PRADESH</w:t>
      </w:r>
    </w:p>
    <w:p w:rsidR="00486CEF" w:rsidRDefault="00486CEF" w:rsidP="00486CEF">
      <w:pPr>
        <w:spacing w:after="0" w:line="240" w:lineRule="auto"/>
        <w:jc w:val="center"/>
        <w:rPr>
          <w:rFonts w:ascii="Verdana" w:hAnsi="Verdana"/>
          <w:b/>
        </w:rPr>
      </w:pPr>
      <w:r w:rsidRPr="00905776">
        <w:rPr>
          <w:rFonts w:ascii="Verdana" w:hAnsi="Verdana"/>
          <w:b/>
        </w:rPr>
        <w:t>ABSTRACT</w:t>
      </w:r>
    </w:p>
    <w:p w:rsidR="00486CEF" w:rsidRPr="00905776" w:rsidRDefault="00486CEF" w:rsidP="00486CEF">
      <w:pPr>
        <w:spacing w:after="0" w:line="240" w:lineRule="auto"/>
        <w:jc w:val="center"/>
        <w:rPr>
          <w:rFonts w:ascii="Verdana" w:hAnsi="Verdana"/>
          <w:b/>
        </w:rPr>
      </w:pPr>
    </w:p>
    <w:p w:rsidR="00486CEF" w:rsidRPr="00905776" w:rsidRDefault="00486CEF" w:rsidP="00486CEF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Prohibition &amp; Excise </w:t>
      </w:r>
      <w:r w:rsidRPr="00905776">
        <w:rPr>
          <w:rFonts w:ascii="Verdana" w:hAnsi="Verdana"/>
        </w:rPr>
        <w:t xml:space="preserve">– </w:t>
      </w:r>
      <w:r>
        <w:rPr>
          <w:rFonts w:ascii="Verdana" w:hAnsi="Verdana"/>
        </w:rPr>
        <w:t>Continuation</w:t>
      </w:r>
      <w:r w:rsidRPr="00905776">
        <w:rPr>
          <w:rFonts w:ascii="Verdana" w:hAnsi="Verdana"/>
        </w:rPr>
        <w:t xml:space="preserve"> of </w:t>
      </w:r>
      <w:proofErr w:type="gramStart"/>
      <w:r>
        <w:rPr>
          <w:rFonts w:ascii="Verdana" w:hAnsi="Verdana"/>
        </w:rPr>
        <w:t>B</w:t>
      </w:r>
      <w:r w:rsidRPr="00905776">
        <w:rPr>
          <w:rFonts w:ascii="Verdana" w:hAnsi="Verdana"/>
        </w:rPr>
        <w:t>ar</w:t>
      </w:r>
      <w:proofErr w:type="gramEnd"/>
      <w:r w:rsidRPr="00905776">
        <w:rPr>
          <w:rFonts w:ascii="Verdana" w:hAnsi="Verdana"/>
        </w:rPr>
        <w:t xml:space="preserve"> </w:t>
      </w:r>
      <w:proofErr w:type="spellStart"/>
      <w:r w:rsidRPr="00905776">
        <w:rPr>
          <w:rFonts w:ascii="Verdana" w:hAnsi="Verdana"/>
        </w:rPr>
        <w:t>lice</w:t>
      </w:r>
      <w:r w:rsidR="004A40F6">
        <w:rPr>
          <w:rFonts w:ascii="Verdana" w:hAnsi="Verdana"/>
        </w:rPr>
        <w:t>nces</w:t>
      </w:r>
      <w:proofErr w:type="spellEnd"/>
      <w:r w:rsidR="004A40F6">
        <w:rPr>
          <w:rFonts w:ascii="Verdana" w:hAnsi="Verdana"/>
        </w:rPr>
        <w:t xml:space="preserve"> existing as on 30.06.2020 </w:t>
      </w:r>
      <w:r w:rsidR="00B0590F">
        <w:rPr>
          <w:rFonts w:ascii="Verdana" w:hAnsi="Verdana"/>
        </w:rPr>
        <w:t xml:space="preserve">for the period </w:t>
      </w:r>
      <w:r w:rsidRPr="00905776">
        <w:rPr>
          <w:rFonts w:ascii="Verdana" w:hAnsi="Verdana"/>
        </w:rPr>
        <w:t xml:space="preserve">from </w:t>
      </w:r>
      <w:r w:rsidR="00441D60">
        <w:rPr>
          <w:rFonts w:ascii="Verdana" w:hAnsi="Verdana"/>
        </w:rPr>
        <w:t>19.09.2020</w:t>
      </w:r>
      <w:r w:rsidRPr="00905776">
        <w:rPr>
          <w:rFonts w:ascii="Verdana" w:hAnsi="Verdana"/>
        </w:rPr>
        <w:t xml:space="preserve"> to 30.06.2021 - Orders – Issued.</w:t>
      </w:r>
    </w:p>
    <w:p w:rsidR="00486CEF" w:rsidRPr="00905776" w:rsidRDefault="00486CEF" w:rsidP="00486CEF">
      <w:pPr>
        <w:spacing w:after="0" w:line="240" w:lineRule="auto"/>
        <w:jc w:val="both"/>
        <w:rPr>
          <w:rFonts w:ascii="Verdana" w:hAnsi="Verdana"/>
        </w:rPr>
      </w:pPr>
    </w:p>
    <w:p w:rsidR="00486CEF" w:rsidRPr="00905776" w:rsidRDefault="00486CEF" w:rsidP="00486CEF">
      <w:pPr>
        <w:spacing w:after="0" w:line="240" w:lineRule="auto"/>
        <w:jc w:val="center"/>
        <w:rPr>
          <w:rFonts w:ascii="Verdana" w:hAnsi="Verdana"/>
          <w:b/>
        </w:rPr>
      </w:pPr>
      <w:r w:rsidRPr="00905776">
        <w:rPr>
          <w:rFonts w:ascii="Verdana" w:hAnsi="Verdana"/>
          <w:b/>
        </w:rPr>
        <w:t>REVENUE (Excise) DEPARTMENT</w:t>
      </w:r>
    </w:p>
    <w:p w:rsidR="00486CEF" w:rsidRPr="00905776" w:rsidRDefault="00486CEF" w:rsidP="00486CEF">
      <w:pPr>
        <w:spacing w:after="0" w:line="240" w:lineRule="auto"/>
        <w:jc w:val="center"/>
        <w:rPr>
          <w:rFonts w:ascii="Verdana" w:hAnsi="Verdana"/>
          <w:b/>
        </w:rPr>
      </w:pPr>
    </w:p>
    <w:p w:rsidR="00486CEF" w:rsidRPr="00905776" w:rsidRDefault="00486CEF" w:rsidP="00D15043">
      <w:pPr>
        <w:spacing w:after="0" w:line="240" w:lineRule="auto"/>
        <w:jc w:val="both"/>
        <w:rPr>
          <w:rFonts w:ascii="Verdana" w:hAnsi="Verdana"/>
          <w:b/>
          <w:u w:val="single"/>
        </w:rPr>
      </w:pPr>
      <w:proofErr w:type="spellStart"/>
      <w:r w:rsidRPr="00905776">
        <w:rPr>
          <w:rFonts w:ascii="Verdana" w:hAnsi="Verdana"/>
          <w:b/>
          <w:u w:val="single"/>
        </w:rPr>
        <w:t>G.O.Ms.No</w:t>
      </w:r>
      <w:proofErr w:type="spellEnd"/>
      <w:r w:rsidRPr="00905776">
        <w:rPr>
          <w:rFonts w:ascii="Verdana" w:hAnsi="Verdana"/>
          <w:b/>
          <w:u w:val="single"/>
        </w:rPr>
        <w:t xml:space="preserve">.        </w:t>
      </w:r>
      <w:r w:rsidRPr="00905776">
        <w:rPr>
          <w:rFonts w:ascii="Verdana" w:hAnsi="Verdana"/>
          <w:b/>
        </w:rPr>
        <w:t xml:space="preserve">                                                   </w:t>
      </w:r>
      <w:r w:rsidR="00E65476">
        <w:rPr>
          <w:rFonts w:ascii="Verdana" w:hAnsi="Verdana"/>
          <w:b/>
        </w:rPr>
        <w:t xml:space="preserve">    </w:t>
      </w:r>
      <w:r w:rsidRPr="00905776">
        <w:rPr>
          <w:rFonts w:ascii="Verdana" w:hAnsi="Verdana"/>
          <w:b/>
        </w:rPr>
        <w:t xml:space="preserve"> </w:t>
      </w:r>
      <w:r w:rsidR="00E65476">
        <w:rPr>
          <w:rFonts w:ascii="Verdana" w:hAnsi="Verdana"/>
          <w:b/>
        </w:rPr>
        <w:t xml:space="preserve">   </w:t>
      </w:r>
      <w:r w:rsidRPr="00905776">
        <w:rPr>
          <w:rFonts w:ascii="Verdana" w:hAnsi="Verdana"/>
          <w:b/>
        </w:rPr>
        <w:t xml:space="preserve"> </w:t>
      </w:r>
      <w:r w:rsidR="00342A89">
        <w:rPr>
          <w:rFonts w:ascii="Verdana" w:hAnsi="Verdana"/>
          <w:b/>
          <w:u w:val="single"/>
        </w:rPr>
        <w:t>Dated</w:t>
      </w:r>
      <w:proofErr w:type="gramStart"/>
      <w:r w:rsidR="00342A89">
        <w:rPr>
          <w:rFonts w:ascii="Verdana" w:hAnsi="Verdana"/>
          <w:b/>
          <w:u w:val="single"/>
        </w:rPr>
        <w:t>:18</w:t>
      </w:r>
      <w:r w:rsidRPr="00905776">
        <w:rPr>
          <w:rFonts w:ascii="Verdana" w:hAnsi="Verdana"/>
          <w:b/>
          <w:u w:val="single"/>
        </w:rPr>
        <w:t>.09.2020</w:t>
      </w:r>
      <w:proofErr w:type="gramEnd"/>
      <w:r w:rsidRPr="00905776">
        <w:rPr>
          <w:rFonts w:ascii="Verdana" w:hAnsi="Verdana"/>
          <w:b/>
          <w:u w:val="single"/>
        </w:rPr>
        <w:t>.</w:t>
      </w:r>
    </w:p>
    <w:p w:rsidR="00486CEF" w:rsidRPr="00905776" w:rsidRDefault="00486CEF" w:rsidP="00D15043">
      <w:pPr>
        <w:spacing w:after="0" w:line="240" w:lineRule="auto"/>
        <w:jc w:val="both"/>
        <w:rPr>
          <w:rFonts w:ascii="Verdana" w:hAnsi="Verdana"/>
          <w:b/>
        </w:rPr>
      </w:pPr>
      <w:r w:rsidRPr="00905776">
        <w:rPr>
          <w:rFonts w:ascii="Verdana" w:hAnsi="Verdana"/>
          <w:b/>
        </w:rPr>
        <w:t xml:space="preserve">                                                                              </w:t>
      </w:r>
      <w:r w:rsidR="00E65476">
        <w:rPr>
          <w:rFonts w:ascii="Verdana" w:hAnsi="Verdana"/>
          <w:b/>
        </w:rPr>
        <w:t xml:space="preserve">       </w:t>
      </w:r>
      <w:r w:rsidRPr="00905776">
        <w:rPr>
          <w:rFonts w:ascii="Verdana" w:hAnsi="Verdana"/>
          <w:b/>
        </w:rPr>
        <w:t xml:space="preserve"> Read</w:t>
      </w:r>
      <w:r w:rsidR="00AA714A">
        <w:rPr>
          <w:rFonts w:ascii="Verdana" w:hAnsi="Verdana"/>
          <w:b/>
        </w:rPr>
        <w:t xml:space="preserve"> the following</w:t>
      </w:r>
      <w:r w:rsidRPr="00905776">
        <w:rPr>
          <w:rFonts w:ascii="Verdana" w:hAnsi="Verdana"/>
          <w:b/>
        </w:rPr>
        <w:t>:</w:t>
      </w:r>
    </w:p>
    <w:p w:rsidR="00486CEF" w:rsidRPr="00905776" w:rsidRDefault="00486CEF" w:rsidP="00486CEF">
      <w:pPr>
        <w:spacing w:after="0" w:line="240" w:lineRule="auto"/>
        <w:ind w:left="720"/>
        <w:jc w:val="both"/>
        <w:rPr>
          <w:rFonts w:ascii="Verdana" w:hAnsi="Verdana"/>
        </w:rPr>
      </w:pPr>
      <w:r w:rsidRPr="00905776">
        <w:rPr>
          <w:rFonts w:ascii="Verdana" w:hAnsi="Verdana"/>
        </w:rPr>
        <w:t xml:space="preserve"> </w:t>
      </w:r>
    </w:p>
    <w:p w:rsidR="00486CEF" w:rsidRPr="00905776" w:rsidRDefault="00486CEF" w:rsidP="00486CEF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67" w:lineRule="exact"/>
        <w:ind w:hanging="297"/>
        <w:contextualSpacing w:val="0"/>
        <w:jc w:val="both"/>
        <w:rPr>
          <w:rFonts w:ascii="Verdana" w:hAnsi="Verdana"/>
        </w:rPr>
      </w:pPr>
      <w:r w:rsidRPr="00905776">
        <w:rPr>
          <w:rFonts w:ascii="Verdana" w:hAnsi="Verdana"/>
        </w:rPr>
        <w:t>G.O.Ms.No.235, Rev. (</w:t>
      </w:r>
      <w:proofErr w:type="spellStart"/>
      <w:r w:rsidRPr="00905776">
        <w:rPr>
          <w:rFonts w:ascii="Verdana" w:hAnsi="Verdana"/>
        </w:rPr>
        <w:t>Ex.II</w:t>
      </w:r>
      <w:proofErr w:type="spellEnd"/>
      <w:r w:rsidRPr="00905776">
        <w:rPr>
          <w:rFonts w:ascii="Verdana" w:hAnsi="Verdana"/>
        </w:rPr>
        <w:t>) Department,</w:t>
      </w:r>
      <w:r w:rsidRPr="00905776">
        <w:rPr>
          <w:rFonts w:ascii="Verdana" w:hAnsi="Verdana"/>
          <w:spacing w:val="-31"/>
        </w:rPr>
        <w:t xml:space="preserve"> </w:t>
      </w:r>
      <w:r w:rsidRPr="00905776">
        <w:rPr>
          <w:rFonts w:ascii="Verdana" w:hAnsi="Verdana"/>
        </w:rPr>
        <w:t>dt</w:t>
      </w:r>
      <w:proofErr w:type="gramStart"/>
      <w:r w:rsidRPr="00905776">
        <w:rPr>
          <w:rFonts w:ascii="Verdana" w:hAnsi="Verdana"/>
        </w:rPr>
        <w:t>:23.06.2017</w:t>
      </w:r>
      <w:proofErr w:type="gramEnd"/>
      <w:r w:rsidRPr="00905776">
        <w:rPr>
          <w:rFonts w:ascii="Verdana" w:hAnsi="Verdana"/>
        </w:rPr>
        <w:t>.</w:t>
      </w:r>
    </w:p>
    <w:p w:rsidR="00486CEF" w:rsidRPr="00905776" w:rsidRDefault="00486CEF" w:rsidP="00486CEF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67" w:lineRule="exact"/>
        <w:ind w:hanging="297"/>
        <w:contextualSpacing w:val="0"/>
        <w:jc w:val="both"/>
        <w:rPr>
          <w:rFonts w:ascii="Verdana" w:hAnsi="Verdana"/>
        </w:rPr>
      </w:pPr>
      <w:r w:rsidRPr="00905776">
        <w:rPr>
          <w:rFonts w:ascii="Verdana" w:hAnsi="Verdana"/>
        </w:rPr>
        <w:t>G.O.Ms.No.236, Rev. (</w:t>
      </w:r>
      <w:proofErr w:type="spellStart"/>
      <w:r w:rsidRPr="00905776">
        <w:rPr>
          <w:rFonts w:ascii="Verdana" w:hAnsi="Verdana"/>
        </w:rPr>
        <w:t>Ex.II</w:t>
      </w:r>
      <w:proofErr w:type="spellEnd"/>
      <w:r w:rsidRPr="00905776">
        <w:rPr>
          <w:rFonts w:ascii="Verdana" w:hAnsi="Verdana"/>
        </w:rPr>
        <w:t>) Department,</w:t>
      </w:r>
      <w:r w:rsidRPr="00905776">
        <w:rPr>
          <w:rFonts w:ascii="Verdana" w:hAnsi="Verdana"/>
          <w:spacing w:val="-31"/>
        </w:rPr>
        <w:t xml:space="preserve"> </w:t>
      </w:r>
      <w:r w:rsidRPr="00905776">
        <w:rPr>
          <w:rFonts w:ascii="Verdana" w:hAnsi="Verdana"/>
        </w:rPr>
        <w:t>dt</w:t>
      </w:r>
      <w:proofErr w:type="gramStart"/>
      <w:r w:rsidRPr="00905776">
        <w:rPr>
          <w:rFonts w:ascii="Verdana" w:hAnsi="Verdana"/>
        </w:rPr>
        <w:t>:23.06.2017</w:t>
      </w:r>
      <w:proofErr w:type="gramEnd"/>
      <w:r w:rsidRPr="00905776">
        <w:rPr>
          <w:rFonts w:ascii="Verdana" w:hAnsi="Verdana"/>
        </w:rPr>
        <w:t>.</w:t>
      </w:r>
    </w:p>
    <w:p w:rsidR="00486CEF" w:rsidRPr="00905776" w:rsidRDefault="00486CEF" w:rsidP="00486CEF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67" w:lineRule="exact"/>
        <w:ind w:hanging="297"/>
        <w:contextualSpacing w:val="0"/>
        <w:jc w:val="both"/>
        <w:rPr>
          <w:rFonts w:ascii="Verdana" w:hAnsi="Verdana"/>
        </w:rPr>
      </w:pPr>
      <w:r w:rsidRPr="00905776">
        <w:rPr>
          <w:rFonts w:ascii="Verdana" w:hAnsi="Verdana"/>
        </w:rPr>
        <w:t>G.O.Ms.No.472, Rev. (</w:t>
      </w:r>
      <w:proofErr w:type="spellStart"/>
      <w:r w:rsidRPr="00905776">
        <w:rPr>
          <w:rFonts w:ascii="Verdana" w:hAnsi="Verdana"/>
        </w:rPr>
        <w:t>Ex.II</w:t>
      </w:r>
      <w:proofErr w:type="spellEnd"/>
      <w:r w:rsidRPr="00905776">
        <w:rPr>
          <w:rFonts w:ascii="Verdana" w:hAnsi="Verdana"/>
        </w:rPr>
        <w:t>) Department,</w:t>
      </w:r>
      <w:r w:rsidRPr="00905776">
        <w:rPr>
          <w:rFonts w:ascii="Verdana" w:hAnsi="Verdana"/>
          <w:spacing w:val="-31"/>
        </w:rPr>
        <w:t xml:space="preserve"> </w:t>
      </w:r>
      <w:r w:rsidRPr="00905776">
        <w:rPr>
          <w:rFonts w:ascii="Verdana" w:hAnsi="Verdana"/>
        </w:rPr>
        <w:t>dt:22.11.2019</w:t>
      </w:r>
    </w:p>
    <w:p w:rsidR="00486CEF" w:rsidRPr="00905776" w:rsidRDefault="00486CEF" w:rsidP="00486CEF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67" w:lineRule="exact"/>
        <w:ind w:hanging="297"/>
        <w:contextualSpacing w:val="0"/>
        <w:jc w:val="both"/>
        <w:rPr>
          <w:rFonts w:ascii="Verdana" w:hAnsi="Verdana"/>
        </w:rPr>
      </w:pPr>
      <w:r w:rsidRPr="00905776">
        <w:rPr>
          <w:rFonts w:ascii="Verdana" w:hAnsi="Verdana"/>
        </w:rPr>
        <w:t>G.O.Ms.No.473, Rev. (</w:t>
      </w:r>
      <w:proofErr w:type="spellStart"/>
      <w:r w:rsidRPr="00905776">
        <w:rPr>
          <w:rFonts w:ascii="Verdana" w:hAnsi="Verdana"/>
        </w:rPr>
        <w:t>Ex.II</w:t>
      </w:r>
      <w:proofErr w:type="spellEnd"/>
      <w:r w:rsidRPr="00905776">
        <w:rPr>
          <w:rFonts w:ascii="Verdana" w:hAnsi="Verdana"/>
        </w:rPr>
        <w:t>) Department,</w:t>
      </w:r>
      <w:r w:rsidRPr="00905776">
        <w:rPr>
          <w:rFonts w:ascii="Verdana" w:hAnsi="Verdana"/>
          <w:spacing w:val="-31"/>
        </w:rPr>
        <w:t xml:space="preserve"> </w:t>
      </w:r>
      <w:r w:rsidRPr="00905776">
        <w:rPr>
          <w:rFonts w:ascii="Verdana" w:hAnsi="Verdana"/>
        </w:rPr>
        <w:t>dt:22.11.2019</w:t>
      </w:r>
    </w:p>
    <w:p w:rsidR="00486CEF" w:rsidRPr="00905776" w:rsidRDefault="00486CEF" w:rsidP="00486CEF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67" w:lineRule="exact"/>
        <w:ind w:hanging="297"/>
        <w:contextualSpacing w:val="0"/>
        <w:jc w:val="both"/>
        <w:rPr>
          <w:rFonts w:ascii="Verdana" w:hAnsi="Verdana"/>
        </w:rPr>
      </w:pPr>
      <w:r w:rsidRPr="00905776">
        <w:rPr>
          <w:rFonts w:ascii="Verdana" w:hAnsi="Verdana"/>
        </w:rPr>
        <w:t>G.O.Ms.No.478, Rev. (</w:t>
      </w:r>
      <w:proofErr w:type="spellStart"/>
      <w:r w:rsidRPr="00905776">
        <w:rPr>
          <w:rFonts w:ascii="Verdana" w:hAnsi="Verdana"/>
        </w:rPr>
        <w:t>Ex.II</w:t>
      </w:r>
      <w:proofErr w:type="spellEnd"/>
      <w:r w:rsidRPr="00905776">
        <w:rPr>
          <w:rFonts w:ascii="Verdana" w:hAnsi="Verdana"/>
        </w:rPr>
        <w:t>) Department,</w:t>
      </w:r>
      <w:r w:rsidRPr="00905776">
        <w:rPr>
          <w:rFonts w:ascii="Verdana" w:hAnsi="Verdana"/>
          <w:spacing w:val="-31"/>
        </w:rPr>
        <w:t xml:space="preserve"> </w:t>
      </w:r>
      <w:r w:rsidRPr="00905776">
        <w:rPr>
          <w:rFonts w:ascii="Verdana" w:hAnsi="Verdana"/>
        </w:rPr>
        <w:t>dt:25.11.2019</w:t>
      </w:r>
    </w:p>
    <w:p w:rsidR="00486CEF" w:rsidRPr="00905776" w:rsidRDefault="00486CEF" w:rsidP="00486CEF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after="0" w:line="267" w:lineRule="exact"/>
        <w:ind w:hanging="297"/>
        <w:contextualSpacing w:val="0"/>
        <w:jc w:val="both"/>
        <w:rPr>
          <w:rFonts w:ascii="Verdana" w:hAnsi="Verdana"/>
        </w:rPr>
      </w:pPr>
      <w:r w:rsidRPr="00905776">
        <w:rPr>
          <w:rFonts w:ascii="Verdana" w:hAnsi="Verdana"/>
        </w:rPr>
        <w:t xml:space="preserve">Interim orders of </w:t>
      </w:r>
      <w:proofErr w:type="spellStart"/>
      <w:r w:rsidRPr="00905776">
        <w:rPr>
          <w:rFonts w:ascii="Verdana" w:hAnsi="Verdana"/>
        </w:rPr>
        <w:t>Hon’ble</w:t>
      </w:r>
      <w:proofErr w:type="spellEnd"/>
      <w:r w:rsidRPr="00905776">
        <w:rPr>
          <w:rFonts w:ascii="Verdana" w:hAnsi="Verdana"/>
        </w:rPr>
        <w:t xml:space="preserve"> Hi</w:t>
      </w:r>
      <w:r w:rsidR="002566C3">
        <w:rPr>
          <w:rFonts w:ascii="Verdana" w:hAnsi="Verdana"/>
        </w:rPr>
        <w:t xml:space="preserve">gh court in W.P. No.19498/2019 </w:t>
      </w:r>
      <w:r w:rsidRPr="00905776">
        <w:rPr>
          <w:rFonts w:ascii="Verdana" w:hAnsi="Verdana"/>
        </w:rPr>
        <w:t>&amp; batch, dated 23.12.2019.</w:t>
      </w:r>
    </w:p>
    <w:p w:rsidR="00486CEF" w:rsidRPr="00905776" w:rsidRDefault="00486CEF" w:rsidP="00486C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905776">
        <w:rPr>
          <w:rFonts w:ascii="Verdana" w:hAnsi="Verdana"/>
        </w:rPr>
        <w:t xml:space="preserve">From the Commissioner of </w:t>
      </w:r>
      <w:proofErr w:type="spellStart"/>
      <w:r w:rsidRPr="00905776">
        <w:rPr>
          <w:rFonts w:ascii="Verdana" w:hAnsi="Verdana"/>
        </w:rPr>
        <w:t>Proh</w:t>
      </w:r>
      <w:proofErr w:type="spellEnd"/>
      <w:r w:rsidRPr="00905776">
        <w:rPr>
          <w:rFonts w:ascii="Verdana" w:hAnsi="Verdana"/>
        </w:rPr>
        <w:t>. &amp; Excise, A.P., Cr.No.3300/2020/CPE/E3</w:t>
      </w:r>
      <w:proofErr w:type="gramStart"/>
      <w:r w:rsidRPr="00905776">
        <w:rPr>
          <w:rFonts w:ascii="Verdana" w:hAnsi="Verdana"/>
        </w:rPr>
        <w:t>,  dt.1</w:t>
      </w:r>
      <w:r>
        <w:rPr>
          <w:rFonts w:ascii="Verdana" w:hAnsi="Verdana"/>
        </w:rPr>
        <w:t>7</w:t>
      </w:r>
      <w:r w:rsidRPr="00905776">
        <w:rPr>
          <w:rFonts w:ascii="Verdana" w:hAnsi="Verdana"/>
        </w:rPr>
        <w:t>.09.2020</w:t>
      </w:r>
      <w:proofErr w:type="gramEnd"/>
      <w:r w:rsidRPr="00905776">
        <w:rPr>
          <w:rFonts w:ascii="Verdana" w:hAnsi="Verdana"/>
        </w:rPr>
        <w:t>.</w:t>
      </w:r>
    </w:p>
    <w:p w:rsidR="00486CEF" w:rsidRPr="00905776" w:rsidRDefault="00486CEF" w:rsidP="00486CEF">
      <w:pPr>
        <w:spacing w:after="0" w:line="240" w:lineRule="auto"/>
        <w:jc w:val="both"/>
        <w:rPr>
          <w:rFonts w:ascii="Verdana" w:hAnsi="Verdana"/>
        </w:rPr>
      </w:pPr>
    </w:p>
    <w:p w:rsidR="00486CEF" w:rsidRPr="00905776" w:rsidRDefault="00486CEF" w:rsidP="00486CEF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905776">
        <w:rPr>
          <w:rFonts w:ascii="Verdana" w:hAnsi="Verdana"/>
          <w:b/>
          <w:u w:val="single"/>
        </w:rPr>
        <w:t>ORDER:</w:t>
      </w:r>
    </w:p>
    <w:p w:rsidR="00486CEF" w:rsidRPr="00D15043" w:rsidRDefault="00486CEF" w:rsidP="00486CEF">
      <w:pPr>
        <w:spacing w:after="0" w:line="240" w:lineRule="auto"/>
        <w:jc w:val="both"/>
        <w:rPr>
          <w:rFonts w:ascii="Verdana" w:hAnsi="Verdana"/>
          <w:b/>
          <w:sz w:val="12"/>
          <w:u w:val="single"/>
        </w:rPr>
      </w:pPr>
    </w:p>
    <w:p w:rsidR="00486CEF" w:rsidRPr="00905776" w:rsidRDefault="00486CEF" w:rsidP="00486CEF">
      <w:pPr>
        <w:spacing w:line="240" w:lineRule="auto"/>
        <w:ind w:firstLine="720"/>
        <w:contextualSpacing/>
        <w:jc w:val="both"/>
        <w:rPr>
          <w:rFonts w:ascii="Verdana" w:hAnsi="Verdana"/>
        </w:rPr>
      </w:pPr>
      <w:r w:rsidRPr="00905776">
        <w:rPr>
          <w:rFonts w:ascii="Verdana" w:hAnsi="Verdana"/>
        </w:rPr>
        <w:t xml:space="preserve">All the </w:t>
      </w:r>
      <w:r>
        <w:rPr>
          <w:rFonts w:ascii="Verdana" w:hAnsi="Verdana"/>
        </w:rPr>
        <w:t xml:space="preserve">(840) </w:t>
      </w:r>
      <w:r w:rsidRPr="00905776">
        <w:rPr>
          <w:rFonts w:ascii="Verdana" w:hAnsi="Verdana"/>
        </w:rPr>
        <w:t xml:space="preserve">2B </w:t>
      </w:r>
      <w:proofErr w:type="spellStart"/>
      <w:r w:rsidRPr="00905776">
        <w:rPr>
          <w:rFonts w:ascii="Verdana" w:hAnsi="Verdana"/>
        </w:rPr>
        <w:t>licences</w:t>
      </w:r>
      <w:proofErr w:type="spellEnd"/>
      <w:r w:rsidRPr="00905776">
        <w:rPr>
          <w:rFonts w:ascii="Verdana" w:hAnsi="Verdana"/>
        </w:rPr>
        <w:t xml:space="preserve"> existing as on 30.06.2020 have been granted for a period of (5) years i.e., from 01.07.2017 to 30.06.2022 with a fixed license fee and non-</w:t>
      </w:r>
      <w:r>
        <w:rPr>
          <w:rFonts w:ascii="Verdana" w:hAnsi="Verdana"/>
        </w:rPr>
        <w:t xml:space="preserve">refundable Registration charge </w:t>
      </w:r>
      <w:r w:rsidRPr="00905776">
        <w:rPr>
          <w:rFonts w:ascii="Verdana" w:hAnsi="Verdana"/>
        </w:rPr>
        <w:t xml:space="preserve">on population basis and the licenses are continued every year subject to remittance </w:t>
      </w:r>
      <w:r>
        <w:rPr>
          <w:rFonts w:ascii="Verdana" w:hAnsi="Verdana"/>
        </w:rPr>
        <w:t xml:space="preserve">of </w:t>
      </w:r>
      <w:r w:rsidRPr="00905776">
        <w:rPr>
          <w:rFonts w:ascii="Verdana" w:hAnsi="Verdana"/>
        </w:rPr>
        <w:t>10% of enhanced License fee and non-refundable Registration charge of previous year, as per the orders issued in GOs 1</w:t>
      </w:r>
      <w:r w:rsidRPr="00905776">
        <w:rPr>
          <w:rFonts w:ascii="Verdana" w:hAnsi="Verdana"/>
          <w:vertAlign w:val="superscript"/>
        </w:rPr>
        <w:t>st</w:t>
      </w:r>
      <w:r w:rsidRPr="00905776">
        <w:rPr>
          <w:rFonts w:ascii="Verdana" w:hAnsi="Verdana"/>
        </w:rPr>
        <w:t xml:space="preserve"> &amp; 2</w:t>
      </w:r>
      <w:r w:rsidRPr="00905776">
        <w:rPr>
          <w:rFonts w:ascii="Verdana" w:hAnsi="Verdana"/>
          <w:vertAlign w:val="superscript"/>
        </w:rPr>
        <w:t>nd</w:t>
      </w:r>
      <w:r w:rsidRPr="00905776">
        <w:rPr>
          <w:rFonts w:ascii="Verdana" w:hAnsi="Verdana"/>
        </w:rPr>
        <w:t xml:space="preserve"> read above.</w:t>
      </w:r>
    </w:p>
    <w:p w:rsidR="00486CEF" w:rsidRPr="00905776" w:rsidRDefault="00486CEF" w:rsidP="00486CEF">
      <w:pPr>
        <w:ind w:firstLine="720"/>
        <w:contextualSpacing/>
        <w:jc w:val="both"/>
        <w:rPr>
          <w:rFonts w:ascii="Verdana" w:hAnsi="Verdana"/>
        </w:rPr>
      </w:pPr>
    </w:p>
    <w:p w:rsidR="00486CEF" w:rsidRPr="00905776" w:rsidRDefault="00486CEF" w:rsidP="00486CEF">
      <w:pPr>
        <w:tabs>
          <w:tab w:val="left" w:pos="180"/>
        </w:tabs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Pr="00905776">
        <w:rPr>
          <w:rFonts w:ascii="Verdana" w:hAnsi="Verdana"/>
        </w:rPr>
        <w:tab/>
        <w:t>The Government of Andhra Pradesh, pursuant to the committed policy of reducing   levels of consumption of li</w:t>
      </w:r>
      <w:r>
        <w:rPr>
          <w:rFonts w:ascii="Verdana" w:hAnsi="Verdana"/>
        </w:rPr>
        <w:t xml:space="preserve">quor, </w:t>
      </w:r>
      <w:r w:rsidRPr="00905776">
        <w:rPr>
          <w:rFonts w:ascii="Verdana" w:hAnsi="Verdana"/>
        </w:rPr>
        <w:t xml:space="preserve">have taken several measures and implemented </w:t>
      </w:r>
      <w:r>
        <w:rPr>
          <w:rFonts w:ascii="Verdana" w:hAnsi="Verdana"/>
        </w:rPr>
        <w:t>it</w:t>
      </w:r>
      <w:r w:rsidRPr="00905776">
        <w:rPr>
          <w:rFonts w:ascii="Verdana" w:hAnsi="Verdana"/>
        </w:rPr>
        <w:t xml:space="preserve"> in letter and spirit. In order to realize the objective, the Government have entrusted the privilege of selling by shop to APSBCL, a state owned Corporation and reduced the number of shops by 33%.</w:t>
      </w:r>
    </w:p>
    <w:p w:rsidR="00486CEF" w:rsidRPr="00905776" w:rsidRDefault="00486CEF" w:rsidP="00486CEF">
      <w:pPr>
        <w:tabs>
          <w:tab w:val="left" w:pos="180"/>
        </w:tabs>
        <w:contextualSpacing/>
        <w:jc w:val="both"/>
        <w:rPr>
          <w:rFonts w:ascii="Verdana" w:hAnsi="Verdana"/>
        </w:rPr>
      </w:pPr>
    </w:p>
    <w:p w:rsidR="00486CEF" w:rsidRPr="00905776" w:rsidRDefault="00486CEF" w:rsidP="00486CEF">
      <w:pPr>
        <w:tabs>
          <w:tab w:val="left" w:pos="180"/>
        </w:tabs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Pr="00905776">
        <w:rPr>
          <w:rFonts w:ascii="Verdana" w:hAnsi="Verdana"/>
        </w:rPr>
        <w:tab/>
        <w:t>Further, the Government have issued orders in the G.O.3</w:t>
      </w:r>
      <w:r w:rsidRPr="00905776">
        <w:rPr>
          <w:rFonts w:ascii="Verdana" w:hAnsi="Verdana"/>
          <w:vertAlign w:val="superscript"/>
        </w:rPr>
        <w:t>rd</w:t>
      </w:r>
      <w:r w:rsidRPr="00905776">
        <w:rPr>
          <w:rFonts w:ascii="Verdana" w:hAnsi="Verdana"/>
        </w:rPr>
        <w:t xml:space="preserve"> read above to withdraw all the existing Bar licenses with a view to reduce the number of 2B bars and formulated a new Bar Policy for the year 2020-21 vide G.O.</w:t>
      </w:r>
      <w:r w:rsidR="00A31E66">
        <w:rPr>
          <w:rFonts w:ascii="Verdana" w:hAnsi="Verdana"/>
        </w:rPr>
        <w:t xml:space="preserve"> </w:t>
      </w:r>
      <w:r w:rsidRPr="00905776">
        <w:rPr>
          <w:rFonts w:ascii="Verdana" w:hAnsi="Verdana"/>
        </w:rPr>
        <w:t>4</w:t>
      </w:r>
      <w:r w:rsidRPr="00905776">
        <w:rPr>
          <w:rFonts w:ascii="Verdana" w:hAnsi="Verdana"/>
          <w:vertAlign w:val="superscript"/>
        </w:rPr>
        <w:t>th</w:t>
      </w:r>
      <w:r w:rsidRPr="00905776">
        <w:rPr>
          <w:rFonts w:ascii="Verdana" w:hAnsi="Verdana"/>
        </w:rPr>
        <w:t xml:space="preserve"> read above with revised License fee structure and  grant of Bar licenses by drawl of </w:t>
      </w:r>
      <w:proofErr w:type="spellStart"/>
      <w:r w:rsidRPr="00905776">
        <w:rPr>
          <w:rFonts w:ascii="Verdana" w:hAnsi="Verdana"/>
        </w:rPr>
        <w:t>LoTs</w:t>
      </w:r>
      <w:proofErr w:type="spellEnd"/>
      <w:r w:rsidRPr="00905776">
        <w:rPr>
          <w:rFonts w:ascii="Verdana" w:hAnsi="Verdana"/>
        </w:rPr>
        <w:t xml:space="preserve">.  A number of Writ Petitions have been filed challenging the withdrawal orders and the new Bar Policy and the </w:t>
      </w:r>
      <w:proofErr w:type="spellStart"/>
      <w:r w:rsidRPr="00905776">
        <w:rPr>
          <w:rFonts w:ascii="Verdana" w:hAnsi="Verdana"/>
        </w:rPr>
        <w:t>Hon’ble</w:t>
      </w:r>
      <w:proofErr w:type="spellEnd"/>
      <w:r w:rsidRPr="00905776">
        <w:rPr>
          <w:rFonts w:ascii="Verdana" w:hAnsi="Verdana"/>
        </w:rPr>
        <w:t xml:space="preserve"> High Court, by an interim order dt.23.12.2019 in W.P.Nos.19498/2019 &amp; batch, has stayed the withdrawal of bar licenses and further action pursuant to the Notifi</w:t>
      </w:r>
      <w:r w:rsidR="00000835">
        <w:rPr>
          <w:rFonts w:ascii="Verdana" w:hAnsi="Verdana"/>
        </w:rPr>
        <w:t xml:space="preserve">cation issued for grant of new </w:t>
      </w:r>
      <w:r w:rsidRPr="00905776">
        <w:rPr>
          <w:rFonts w:ascii="Verdana" w:hAnsi="Verdana"/>
        </w:rPr>
        <w:t xml:space="preserve">bar licenses. The matter is </w:t>
      </w:r>
      <w:proofErr w:type="spellStart"/>
      <w:r w:rsidRPr="00905776">
        <w:rPr>
          <w:rFonts w:ascii="Verdana" w:hAnsi="Verdana"/>
        </w:rPr>
        <w:t>subjudice</w:t>
      </w:r>
      <w:proofErr w:type="spellEnd"/>
      <w:r w:rsidRPr="00905776">
        <w:rPr>
          <w:rFonts w:ascii="Verdana" w:hAnsi="Verdana"/>
        </w:rPr>
        <w:t xml:space="preserve">. </w:t>
      </w:r>
    </w:p>
    <w:p w:rsidR="00486CEF" w:rsidRPr="00905776" w:rsidRDefault="00486CEF" w:rsidP="00486CEF">
      <w:pPr>
        <w:tabs>
          <w:tab w:val="left" w:pos="180"/>
        </w:tabs>
        <w:contextualSpacing/>
        <w:jc w:val="both"/>
        <w:rPr>
          <w:rFonts w:ascii="Verdana" w:hAnsi="Verdana"/>
        </w:rPr>
      </w:pPr>
    </w:p>
    <w:p w:rsidR="00486CEF" w:rsidRDefault="00486CEF" w:rsidP="00486CEF">
      <w:pPr>
        <w:tabs>
          <w:tab w:val="left" w:pos="180"/>
        </w:tabs>
        <w:spacing w:line="240" w:lineRule="auto"/>
        <w:contextualSpacing/>
        <w:jc w:val="both"/>
      </w:pPr>
      <w:r>
        <w:rPr>
          <w:rFonts w:ascii="Verdana" w:hAnsi="Verdana"/>
        </w:rPr>
        <w:t>4.</w:t>
      </w:r>
      <w:r w:rsidRPr="00905776">
        <w:rPr>
          <w:rFonts w:ascii="Verdana" w:hAnsi="Verdana"/>
        </w:rPr>
        <w:tab/>
        <w:t xml:space="preserve">Meanwhile, the Government of India </w:t>
      </w:r>
      <w:proofErr w:type="gramStart"/>
      <w:r w:rsidRPr="00905776">
        <w:rPr>
          <w:rFonts w:ascii="Verdana" w:hAnsi="Verdana"/>
        </w:rPr>
        <w:t>have</w:t>
      </w:r>
      <w:proofErr w:type="gramEnd"/>
      <w:r w:rsidRPr="00905776">
        <w:rPr>
          <w:rFonts w:ascii="Verdana" w:hAnsi="Verdana"/>
        </w:rPr>
        <w:t xml:space="preserve"> declared COVID-19 as pandemic and accordingly all t</w:t>
      </w:r>
      <w:r>
        <w:rPr>
          <w:rFonts w:ascii="Verdana" w:hAnsi="Verdana"/>
        </w:rPr>
        <w:t xml:space="preserve">he 2B Bars have been shut down w.e.f.22.03.2020. </w:t>
      </w:r>
      <w:r>
        <w:t xml:space="preserve"> </w:t>
      </w:r>
    </w:p>
    <w:p w:rsidR="00486CEF" w:rsidRDefault="00486CEF" w:rsidP="00486CEF">
      <w:pPr>
        <w:tabs>
          <w:tab w:val="left" w:pos="180"/>
        </w:tabs>
        <w:spacing w:line="240" w:lineRule="auto"/>
        <w:contextualSpacing/>
        <w:jc w:val="both"/>
      </w:pPr>
    </w:p>
    <w:p w:rsidR="00486CEF" w:rsidRPr="00905776" w:rsidRDefault="00486CEF" w:rsidP="00486CEF">
      <w:pPr>
        <w:tabs>
          <w:tab w:val="left" w:pos="180"/>
        </w:tabs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5.</w:t>
      </w:r>
      <w:r w:rsidRPr="00905776">
        <w:rPr>
          <w:rFonts w:ascii="Verdana" w:hAnsi="Verdana"/>
        </w:rPr>
        <w:tab/>
        <w:t>The A.P.</w:t>
      </w:r>
      <w:r>
        <w:rPr>
          <w:rFonts w:ascii="Verdana" w:hAnsi="Verdana"/>
        </w:rPr>
        <w:t xml:space="preserve"> </w:t>
      </w:r>
      <w:r w:rsidRPr="00905776">
        <w:rPr>
          <w:rFonts w:ascii="Verdana" w:hAnsi="Verdana"/>
        </w:rPr>
        <w:t>Wine Dealers Association represent</w:t>
      </w:r>
      <w:r>
        <w:rPr>
          <w:rFonts w:ascii="Verdana" w:hAnsi="Verdana"/>
        </w:rPr>
        <w:t xml:space="preserve">ed </w:t>
      </w:r>
      <w:r w:rsidRPr="00905776">
        <w:rPr>
          <w:rFonts w:ascii="Verdana" w:hAnsi="Verdana"/>
        </w:rPr>
        <w:t>that even during the Lock-down period, the licensees have to pay all the incidental expenditure for retaining the leased pr</w:t>
      </w:r>
      <w:r>
        <w:rPr>
          <w:rFonts w:ascii="Verdana" w:hAnsi="Verdana"/>
        </w:rPr>
        <w:t xml:space="preserve">emises and up-keep of  the same and therefore requested </w:t>
      </w:r>
      <w:r w:rsidRPr="00905776">
        <w:rPr>
          <w:rFonts w:ascii="Verdana" w:hAnsi="Verdana"/>
        </w:rPr>
        <w:t>for refund of proportionate license fee and non-refundable registration charge for  the closure period from 22.03.2020 to 30.06.2020 due to Lockdown declared to prevent spread of  COVID-19 or adjust the same towards the future license fee and non-refundable registration charge.</w:t>
      </w:r>
    </w:p>
    <w:p w:rsidR="00486CEF" w:rsidRPr="00905776" w:rsidRDefault="00486CEF" w:rsidP="00486CEF">
      <w:pPr>
        <w:tabs>
          <w:tab w:val="left" w:pos="180"/>
        </w:tabs>
        <w:contextualSpacing/>
        <w:jc w:val="both"/>
        <w:rPr>
          <w:rFonts w:ascii="Verdana" w:hAnsi="Verdana"/>
        </w:rPr>
      </w:pPr>
    </w:p>
    <w:p w:rsidR="00486CEF" w:rsidRDefault="00486CEF" w:rsidP="00486CEF">
      <w:pPr>
        <w:tabs>
          <w:tab w:val="left" w:pos="180"/>
        </w:tabs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6. </w:t>
      </w:r>
      <w:r>
        <w:rPr>
          <w:rFonts w:ascii="Verdana" w:hAnsi="Verdana"/>
        </w:rPr>
        <w:tab/>
      </w:r>
      <w:r w:rsidRPr="00D112E8">
        <w:rPr>
          <w:rFonts w:ascii="Verdana" w:hAnsi="Verdana"/>
        </w:rPr>
        <w:t>In the reference 7</w:t>
      </w:r>
      <w:r w:rsidRPr="00D112E8">
        <w:rPr>
          <w:rFonts w:ascii="Verdana" w:hAnsi="Verdana"/>
          <w:vertAlign w:val="superscript"/>
        </w:rPr>
        <w:t>th</w:t>
      </w:r>
      <w:r w:rsidRPr="00D112E8">
        <w:rPr>
          <w:rFonts w:ascii="Verdana" w:hAnsi="Verdana"/>
        </w:rPr>
        <w:t xml:space="preserve"> read above, the Commissioner of Prohibition &amp; Excise</w:t>
      </w:r>
      <w:proofErr w:type="gramStart"/>
      <w:r w:rsidRPr="00D112E8">
        <w:rPr>
          <w:rFonts w:ascii="Verdana" w:hAnsi="Verdana"/>
        </w:rPr>
        <w:t>,  while</w:t>
      </w:r>
      <w:proofErr w:type="gramEnd"/>
      <w:r w:rsidRPr="00D112E8">
        <w:rPr>
          <w:rFonts w:ascii="Verdana" w:hAnsi="Verdana"/>
        </w:rPr>
        <w:t xml:space="preserve"> stating the above, has requested to restore and continue all the bar </w:t>
      </w:r>
      <w:proofErr w:type="spellStart"/>
      <w:r w:rsidRPr="00D112E8">
        <w:rPr>
          <w:rFonts w:ascii="Verdana" w:hAnsi="Verdana"/>
        </w:rPr>
        <w:t>licences</w:t>
      </w:r>
      <w:proofErr w:type="spellEnd"/>
      <w:r w:rsidRPr="00D112E8">
        <w:rPr>
          <w:rFonts w:ascii="Verdana" w:hAnsi="Verdana"/>
        </w:rPr>
        <w:t xml:space="preserve"> existing as on 30.06.2020  for the period from </w:t>
      </w:r>
      <w:r w:rsidR="001019D1" w:rsidRPr="001019D1">
        <w:rPr>
          <w:rFonts w:ascii="Verdana" w:hAnsi="Verdana"/>
        </w:rPr>
        <w:t>19.09.2020</w:t>
      </w:r>
      <w:r w:rsidRPr="00D112E8">
        <w:rPr>
          <w:rFonts w:ascii="Verdana" w:hAnsi="Verdana"/>
        </w:rPr>
        <w:t xml:space="preserve"> to 30.06.2021 on payment of proportionate </w:t>
      </w:r>
      <w:proofErr w:type="spellStart"/>
      <w:r w:rsidRPr="00D112E8">
        <w:rPr>
          <w:rFonts w:ascii="Verdana" w:hAnsi="Verdana"/>
        </w:rPr>
        <w:t>Licence</w:t>
      </w:r>
      <w:proofErr w:type="spellEnd"/>
      <w:r w:rsidRPr="00D112E8">
        <w:rPr>
          <w:rFonts w:ascii="Verdana" w:hAnsi="Verdana"/>
        </w:rPr>
        <w:t xml:space="preserve"> Fee and non-refundable Registration Charge as per Rule 14 of A.P. Excise (Grant of </w:t>
      </w:r>
      <w:proofErr w:type="spellStart"/>
      <w:r w:rsidRPr="00D112E8">
        <w:rPr>
          <w:rFonts w:ascii="Verdana" w:hAnsi="Verdana"/>
        </w:rPr>
        <w:t>licence</w:t>
      </w:r>
      <w:proofErr w:type="spellEnd"/>
      <w:r w:rsidRPr="00D112E8">
        <w:rPr>
          <w:rFonts w:ascii="Verdana" w:hAnsi="Verdana"/>
        </w:rPr>
        <w:t xml:space="preserve"> of selling by bar and conditions of </w:t>
      </w:r>
      <w:proofErr w:type="spellStart"/>
      <w:r w:rsidRPr="00D112E8">
        <w:rPr>
          <w:rFonts w:ascii="Verdana" w:hAnsi="Verdana"/>
        </w:rPr>
        <w:t>licence</w:t>
      </w:r>
      <w:proofErr w:type="spellEnd"/>
      <w:r w:rsidRPr="00D112E8">
        <w:rPr>
          <w:rFonts w:ascii="Verdana" w:hAnsi="Verdana"/>
        </w:rPr>
        <w:t>) Rules,2017</w:t>
      </w:r>
      <w:r>
        <w:rPr>
          <w:rFonts w:ascii="Verdana" w:hAnsi="Verdana"/>
        </w:rPr>
        <w:t>, pending High Court directions in public interest</w:t>
      </w:r>
      <w:r w:rsidRPr="00D112E8">
        <w:rPr>
          <w:rFonts w:ascii="Verdana" w:hAnsi="Verdana"/>
        </w:rPr>
        <w:t xml:space="preserve">.  </w:t>
      </w:r>
    </w:p>
    <w:p w:rsidR="00D15043" w:rsidRDefault="00D15043" w:rsidP="00D15043">
      <w:pPr>
        <w:tabs>
          <w:tab w:val="left" w:pos="180"/>
        </w:tabs>
        <w:spacing w:line="360" w:lineRule="auto"/>
        <w:contextualSpacing/>
        <w:jc w:val="center"/>
        <w:rPr>
          <w:rFonts w:ascii="Verdana" w:hAnsi="Verdana"/>
        </w:rPr>
      </w:pPr>
    </w:p>
    <w:p w:rsidR="00486CEF" w:rsidRDefault="00486CEF" w:rsidP="00486CEF">
      <w:pPr>
        <w:spacing w:line="240" w:lineRule="auto"/>
        <w:jc w:val="both"/>
        <w:rPr>
          <w:rFonts w:ascii="Verdana" w:hAnsi="Verdana"/>
        </w:rPr>
      </w:pPr>
    </w:p>
    <w:p w:rsidR="00486CEF" w:rsidRPr="00905776" w:rsidRDefault="00486CEF" w:rsidP="00486CEF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7. </w:t>
      </w:r>
      <w:r w:rsidRPr="009057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905776">
        <w:rPr>
          <w:rFonts w:ascii="Verdana" w:hAnsi="Verdana"/>
        </w:rPr>
        <w:t xml:space="preserve">After careful examination of the matter,   Government have decided to </w:t>
      </w:r>
      <w:r>
        <w:rPr>
          <w:rFonts w:ascii="Verdana" w:hAnsi="Verdana"/>
        </w:rPr>
        <w:t xml:space="preserve">continue </w:t>
      </w:r>
      <w:r w:rsidRPr="00905776">
        <w:rPr>
          <w:rFonts w:ascii="Verdana" w:hAnsi="Verdana"/>
        </w:rPr>
        <w:t>all the</w:t>
      </w:r>
      <w:r>
        <w:rPr>
          <w:rFonts w:ascii="Verdana" w:hAnsi="Verdana"/>
        </w:rPr>
        <w:t xml:space="preserve"> (840)</w:t>
      </w:r>
      <w:r w:rsidRPr="00905776">
        <w:rPr>
          <w:rFonts w:ascii="Verdana" w:hAnsi="Verdana"/>
        </w:rPr>
        <w:t xml:space="preserve"> bar </w:t>
      </w:r>
      <w:proofErr w:type="spellStart"/>
      <w:r w:rsidRPr="00905776">
        <w:rPr>
          <w:rFonts w:ascii="Verdana" w:hAnsi="Verdana"/>
        </w:rPr>
        <w:t>licences</w:t>
      </w:r>
      <w:proofErr w:type="spellEnd"/>
      <w:r w:rsidRPr="00905776">
        <w:rPr>
          <w:rFonts w:ascii="Verdana" w:hAnsi="Verdana"/>
        </w:rPr>
        <w:t xml:space="preserve"> existing as on 30.06.2020  for the period from </w:t>
      </w:r>
      <w:r w:rsidR="001019D1" w:rsidRPr="001019D1">
        <w:rPr>
          <w:rFonts w:ascii="Verdana" w:hAnsi="Verdana"/>
        </w:rPr>
        <w:t>19.09.2020</w:t>
      </w:r>
      <w:r w:rsidRPr="00905776">
        <w:rPr>
          <w:rFonts w:ascii="Verdana" w:hAnsi="Verdana"/>
        </w:rPr>
        <w:t xml:space="preserve"> to 30.06.2021 </w:t>
      </w:r>
      <w:r w:rsidRPr="00E27A99">
        <w:rPr>
          <w:rFonts w:ascii="Verdana" w:hAnsi="Verdana"/>
        </w:rPr>
        <w:t xml:space="preserve">subject to outcome </w:t>
      </w:r>
      <w:r w:rsidRPr="00905776">
        <w:rPr>
          <w:rFonts w:ascii="Verdana" w:hAnsi="Verdana"/>
        </w:rPr>
        <w:t>of  W.P. No.19498/2019 &amp; batch.</w:t>
      </w:r>
    </w:p>
    <w:p w:rsidR="00486CEF" w:rsidRPr="00905776" w:rsidRDefault="00486CEF" w:rsidP="00486CEF">
      <w:pPr>
        <w:pStyle w:val="BodyText"/>
        <w:ind w:right="134"/>
        <w:jc w:val="both"/>
      </w:pPr>
      <w:r>
        <w:t xml:space="preserve">8.  </w:t>
      </w:r>
      <w:r>
        <w:tab/>
      </w:r>
      <w:r w:rsidRPr="00905776">
        <w:t xml:space="preserve">Accordingly the Government hereby accord permission to </w:t>
      </w:r>
      <w:r>
        <w:t xml:space="preserve"> continue</w:t>
      </w:r>
      <w:r w:rsidRPr="00905776">
        <w:t xml:space="preserve"> all the  </w:t>
      </w:r>
      <w:r>
        <w:t>(840) 2B license</w:t>
      </w:r>
      <w:r w:rsidRPr="00905776">
        <w:t>s including th</w:t>
      </w:r>
      <w:r>
        <w:t>ose</w:t>
      </w:r>
      <w:r w:rsidRPr="00905776">
        <w:t xml:space="preserve"> existing in Micro-breweries and 3-Star and above category Hotels existed as on 30.06.2020, for the period from </w:t>
      </w:r>
      <w:r w:rsidR="00E27A99" w:rsidRPr="00E27A99">
        <w:t>19.09.2020</w:t>
      </w:r>
      <w:r w:rsidRPr="00905776">
        <w:t xml:space="preserve"> to 30.06.2021, on payment of  proportionate </w:t>
      </w:r>
      <w:proofErr w:type="spellStart"/>
      <w:r w:rsidRPr="00905776">
        <w:t>Licence</w:t>
      </w:r>
      <w:proofErr w:type="spellEnd"/>
      <w:r w:rsidRPr="00905776">
        <w:t xml:space="preserve"> Fee and non-refundable Registration charge </w:t>
      </w:r>
      <w:r>
        <w:t xml:space="preserve">and 10% increase every year as per the policy </w:t>
      </w:r>
      <w:r w:rsidRPr="00905776">
        <w:t xml:space="preserve">for the period from </w:t>
      </w:r>
      <w:r w:rsidR="00E27A99" w:rsidRPr="00E27A99">
        <w:t>19.09.2020</w:t>
      </w:r>
      <w:r w:rsidRPr="00905776">
        <w:t xml:space="preserve"> to 30.06.2021, in relaxation of Rule 14 (4)(d) &amp; (6) of A.P. Excise (Grant of </w:t>
      </w:r>
      <w:proofErr w:type="spellStart"/>
      <w:r w:rsidRPr="00905776">
        <w:t>licence</w:t>
      </w:r>
      <w:proofErr w:type="spellEnd"/>
      <w:r w:rsidRPr="00905776">
        <w:t xml:space="preserve"> of selling by bar and conditions of </w:t>
      </w:r>
      <w:proofErr w:type="spellStart"/>
      <w:r w:rsidRPr="00905776">
        <w:t>licence</w:t>
      </w:r>
      <w:proofErr w:type="spellEnd"/>
      <w:r w:rsidRPr="00905776">
        <w:t>) Rules,</w:t>
      </w:r>
      <w:r w:rsidR="00B0590F">
        <w:t xml:space="preserve"> </w:t>
      </w:r>
      <w:r w:rsidRPr="00905776">
        <w:t xml:space="preserve">2017,  </w:t>
      </w:r>
      <w:r w:rsidRPr="00E27A99">
        <w:t xml:space="preserve">subject to outcome </w:t>
      </w:r>
      <w:r w:rsidRPr="00905776">
        <w:t>of W.P. No. 19498/2019 &amp; Batch</w:t>
      </w:r>
      <w:r>
        <w:t xml:space="preserve">.  </w:t>
      </w:r>
    </w:p>
    <w:p w:rsidR="00486CEF" w:rsidRPr="00905776" w:rsidRDefault="00486CEF" w:rsidP="00486CEF">
      <w:pPr>
        <w:pStyle w:val="BodyText"/>
        <w:spacing w:line="360" w:lineRule="auto"/>
        <w:ind w:left="139" w:right="134" w:firstLine="720"/>
        <w:jc w:val="both"/>
      </w:pPr>
    </w:p>
    <w:p w:rsidR="00486CEF" w:rsidRPr="00905776" w:rsidRDefault="00486CEF" w:rsidP="00486CEF">
      <w:pPr>
        <w:spacing w:line="240" w:lineRule="auto"/>
        <w:contextualSpacing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9.</w:t>
      </w:r>
      <w:r w:rsidRPr="00905776">
        <w:rPr>
          <w:rFonts w:ascii="Verdana" w:hAnsi="Verdana"/>
        </w:rPr>
        <w:t xml:space="preserve"> </w:t>
      </w:r>
      <w:r w:rsidRPr="00905776">
        <w:rPr>
          <w:rFonts w:ascii="Verdana" w:hAnsi="Verdana"/>
        </w:rPr>
        <w:tab/>
        <w:t xml:space="preserve">The </w:t>
      </w:r>
      <w:proofErr w:type="spellStart"/>
      <w:r w:rsidRPr="00905776">
        <w:rPr>
          <w:rFonts w:ascii="Verdana" w:hAnsi="Verdana"/>
        </w:rPr>
        <w:t>Licence</w:t>
      </w:r>
      <w:proofErr w:type="spellEnd"/>
      <w:r w:rsidRPr="00905776">
        <w:rPr>
          <w:rFonts w:ascii="Verdana" w:hAnsi="Verdana"/>
        </w:rPr>
        <w:t xml:space="preserve"> fee and non-refundable Registration charge </w:t>
      </w:r>
      <w:r>
        <w:rPr>
          <w:rFonts w:ascii="Verdana" w:hAnsi="Verdana"/>
        </w:rPr>
        <w:t xml:space="preserve">and 10% increase </w:t>
      </w:r>
      <w:r w:rsidRPr="00905776">
        <w:rPr>
          <w:rFonts w:ascii="Verdana" w:hAnsi="Verdana"/>
        </w:rPr>
        <w:t xml:space="preserve">shall be as per A.P. Excise (Grant of </w:t>
      </w:r>
      <w:proofErr w:type="spellStart"/>
      <w:r w:rsidRPr="00905776">
        <w:rPr>
          <w:rFonts w:ascii="Verdana" w:hAnsi="Verdana"/>
        </w:rPr>
        <w:t>licence</w:t>
      </w:r>
      <w:proofErr w:type="spellEnd"/>
      <w:r w:rsidRPr="00905776">
        <w:rPr>
          <w:rFonts w:ascii="Verdana" w:hAnsi="Verdana"/>
        </w:rPr>
        <w:t xml:space="preserve"> of selling by bar and condi</w:t>
      </w:r>
      <w:r w:rsidR="00A31E66">
        <w:rPr>
          <w:rFonts w:ascii="Verdana" w:hAnsi="Verdana"/>
        </w:rPr>
        <w:t xml:space="preserve">tions of </w:t>
      </w:r>
      <w:proofErr w:type="spellStart"/>
      <w:r w:rsidR="00A31E66">
        <w:rPr>
          <w:rFonts w:ascii="Verdana" w:hAnsi="Verdana"/>
        </w:rPr>
        <w:t>licence</w:t>
      </w:r>
      <w:proofErr w:type="spellEnd"/>
      <w:r w:rsidR="00A31E66">
        <w:rPr>
          <w:rFonts w:ascii="Verdana" w:hAnsi="Verdana"/>
        </w:rPr>
        <w:t xml:space="preserve">) Rules, 2017, </w:t>
      </w:r>
      <w:r w:rsidRPr="00905776">
        <w:rPr>
          <w:rFonts w:ascii="Verdana" w:hAnsi="Verdana"/>
        </w:rPr>
        <w:t xml:space="preserve">proportionately for the period from </w:t>
      </w:r>
      <w:r w:rsidR="00E27A99" w:rsidRPr="00E27A99">
        <w:rPr>
          <w:rFonts w:ascii="Verdana" w:hAnsi="Verdana"/>
        </w:rPr>
        <w:t>19.09.2020</w:t>
      </w:r>
      <w:r w:rsidRPr="00905776">
        <w:rPr>
          <w:rFonts w:ascii="Verdana" w:hAnsi="Verdana"/>
        </w:rPr>
        <w:t xml:space="preserve"> to 30.06.2021.</w:t>
      </w:r>
    </w:p>
    <w:p w:rsidR="00486CEF" w:rsidRPr="00905776" w:rsidRDefault="00486CEF" w:rsidP="00486CEF">
      <w:pPr>
        <w:tabs>
          <w:tab w:val="left" w:pos="180"/>
        </w:tabs>
        <w:ind w:left="180"/>
        <w:contextualSpacing/>
        <w:jc w:val="both"/>
        <w:rPr>
          <w:rFonts w:ascii="Verdana" w:hAnsi="Verdana"/>
        </w:rPr>
      </w:pPr>
    </w:p>
    <w:p w:rsidR="00486CEF" w:rsidRPr="00905776" w:rsidRDefault="00486CEF" w:rsidP="00486CEF">
      <w:pPr>
        <w:tabs>
          <w:tab w:val="left" w:pos="0"/>
        </w:tabs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10.</w:t>
      </w:r>
      <w:r>
        <w:rPr>
          <w:rFonts w:ascii="Verdana" w:hAnsi="Verdana"/>
        </w:rPr>
        <w:tab/>
        <w:t xml:space="preserve">The </w:t>
      </w:r>
      <w:proofErr w:type="spellStart"/>
      <w:r>
        <w:rPr>
          <w:rFonts w:ascii="Verdana" w:hAnsi="Verdana"/>
        </w:rPr>
        <w:t>Licence</w:t>
      </w:r>
      <w:proofErr w:type="spellEnd"/>
      <w:r>
        <w:rPr>
          <w:rFonts w:ascii="Verdana" w:hAnsi="Verdana"/>
        </w:rPr>
        <w:t xml:space="preserve"> F</w:t>
      </w:r>
      <w:r w:rsidRPr="00905776">
        <w:rPr>
          <w:rFonts w:ascii="Verdana" w:hAnsi="Verdana"/>
        </w:rPr>
        <w:t xml:space="preserve">ee and non-refundable Registration </w:t>
      </w:r>
      <w:r>
        <w:rPr>
          <w:rFonts w:ascii="Verdana" w:hAnsi="Verdana"/>
        </w:rPr>
        <w:t>C</w:t>
      </w:r>
      <w:r w:rsidRPr="00905776">
        <w:rPr>
          <w:rFonts w:ascii="Verdana" w:hAnsi="Verdana"/>
        </w:rPr>
        <w:t xml:space="preserve">harge </w:t>
      </w:r>
      <w:r>
        <w:rPr>
          <w:rFonts w:ascii="Verdana" w:hAnsi="Verdana"/>
        </w:rPr>
        <w:t>with 10% increase for</w:t>
      </w:r>
      <w:r w:rsidRPr="00905776">
        <w:rPr>
          <w:rFonts w:ascii="Verdana" w:hAnsi="Verdana"/>
        </w:rPr>
        <w:t xml:space="preserve"> the closure period from 22.03.2020 to 30.06.2020   (101 days) shall be adjusted towards future </w:t>
      </w:r>
      <w:proofErr w:type="spellStart"/>
      <w:r w:rsidRPr="00905776">
        <w:rPr>
          <w:rFonts w:ascii="Verdana" w:hAnsi="Verdana"/>
        </w:rPr>
        <w:t>licence</w:t>
      </w:r>
      <w:proofErr w:type="spellEnd"/>
      <w:r w:rsidRPr="00905776">
        <w:rPr>
          <w:rFonts w:ascii="Verdana" w:hAnsi="Verdana"/>
        </w:rPr>
        <w:t xml:space="preserve"> fee and non-refundable Registration</w:t>
      </w:r>
      <w:r w:rsidR="000C0AA4">
        <w:rPr>
          <w:rFonts w:ascii="Verdana" w:hAnsi="Verdana"/>
        </w:rPr>
        <w:t xml:space="preserve"> charge payable for the period </w:t>
      </w:r>
      <w:r w:rsidRPr="00905776">
        <w:rPr>
          <w:rFonts w:ascii="Verdana" w:hAnsi="Verdana"/>
        </w:rPr>
        <w:t xml:space="preserve">from </w:t>
      </w:r>
      <w:r w:rsidR="00E27A99">
        <w:rPr>
          <w:rFonts w:ascii="Verdana" w:hAnsi="Verdana"/>
        </w:rPr>
        <w:t>19.09.2020</w:t>
      </w:r>
      <w:r w:rsidRPr="00905776">
        <w:rPr>
          <w:rFonts w:ascii="Verdana" w:hAnsi="Verdana"/>
        </w:rPr>
        <w:t xml:space="preserve"> to 30.06.2021.</w:t>
      </w:r>
    </w:p>
    <w:p w:rsidR="00486CEF" w:rsidRPr="00905776" w:rsidRDefault="00486CEF" w:rsidP="00486CEF">
      <w:pPr>
        <w:tabs>
          <w:tab w:val="left" w:pos="180"/>
        </w:tabs>
        <w:spacing w:line="360" w:lineRule="auto"/>
        <w:ind w:left="180"/>
        <w:contextualSpacing/>
        <w:jc w:val="both"/>
        <w:rPr>
          <w:rFonts w:ascii="Verdana" w:hAnsi="Verdana"/>
        </w:rPr>
      </w:pPr>
    </w:p>
    <w:p w:rsidR="00486CEF" w:rsidRPr="00905776" w:rsidRDefault="00486CEF" w:rsidP="00486CEF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11</w:t>
      </w:r>
      <w:r w:rsidRPr="00905776">
        <w:rPr>
          <w:rFonts w:ascii="Verdana" w:hAnsi="Verdana"/>
        </w:rPr>
        <w:t>.</w:t>
      </w:r>
      <w:r w:rsidRPr="00905776">
        <w:rPr>
          <w:rFonts w:ascii="Verdana" w:hAnsi="Verdana"/>
        </w:rPr>
        <w:tab/>
        <w:t>The Commissioner of Prohibition &amp; Excise, Andhra Pradesh, Vijayawada, shall take necessary action in the matter.</w:t>
      </w:r>
    </w:p>
    <w:p w:rsidR="00486CEF" w:rsidRDefault="00486CEF" w:rsidP="00486CEF">
      <w:pPr>
        <w:tabs>
          <w:tab w:val="left" w:pos="180"/>
        </w:tabs>
        <w:spacing w:line="360" w:lineRule="auto"/>
        <w:ind w:left="180"/>
        <w:contextualSpacing/>
        <w:jc w:val="center"/>
        <w:rPr>
          <w:rFonts w:ascii="Verdana" w:hAnsi="Verdana"/>
          <w:sz w:val="20"/>
          <w:szCs w:val="20"/>
        </w:rPr>
      </w:pPr>
      <w:r w:rsidRPr="00D969CF">
        <w:rPr>
          <w:rFonts w:ascii="Verdana" w:hAnsi="Verdana"/>
          <w:sz w:val="20"/>
          <w:szCs w:val="20"/>
        </w:rPr>
        <w:t>(BY ORDER AND IN THE NAME OF THE GOVERNOR OF ANDHRA PRADESH)</w:t>
      </w:r>
    </w:p>
    <w:p w:rsidR="00486CEF" w:rsidRPr="00D969CF" w:rsidRDefault="00486CEF" w:rsidP="00486CEF">
      <w:pPr>
        <w:tabs>
          <w:tab w:val="left" w:pos="180"/>
        </w:tabs>
        <w:spacing w:line="360" w:lineRule="auto"/>
        <w:ind w:left="180"/>
        <w:contextualSpacing/>
        <w:jc w:val="center"/>
        <w:rPr>
          <w:rFonts w:ascii="Verdana" w:hAnsi="Verdana"/>
          <w:sz w:val="20"/>
          <w:szCs w:val="20"/>
        </w:rPr>
      </w:pPr>
    </w:p>
    <w:p w:rsidR="00486CEF" w:rsidRPr="00905776" w:rsidRDefault="00486CEF" w:rsidP="00486CEF">
      <w:pPr>
        <w:spacing w:after="0" w:line="240" w:lineRule="auto"/>
        <w:ind w:left="288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Pr="00905776">
        <w:rPr>
          <w:rFonts w:ascii="Verdana" w:hAnsi="Verdana"/>
          <w:b/>
        </w:rPr>
        <w:t xml:space="preserve">            </w:t>
      </w:r>
      <w:r w:rsidR="009832EE">
        <w:rPr>
          <w:rFonts w:ascii="Verdana" w:hAnsi="Verdana"/>
          <w:b/>
        </w:rPr>
        <w:t xml:space="preserve"> </w:t>
      </w:r>
      <w:r w:rsidR="008042ED">
        <w:rPr>
          <w:rFonts w:ascii="Verdana" w:hAnsi="Verdana"/>
          <w:b/>
        </w:rPr>
        <w:t>Dr. RAJAT BHAR</w:t>
      </w:r>
      <w:r>
        <w:rPr>
          <w:rFonts w:ascii="Verdana" w:hAnsi="Verdana"/>
          <w:b/>
        </w:rPr>
        <w:t>GAVA</w:t>
      </w:r>
    </w:p>
    <w:p w:rsidR="00486CEF" w:rsidRPr="00905776" w:rsidRDefault="00486CEF" w:rsidP="00486CEF">
      <w:pPr>
        <w:spacing w:after="120" w:line="240" w:lineRule="auto"/>
        <w:rPr>
          <w:rFonts w:ascii="Verdana" w:hAnsi="Verdana"/>
          <w:b/>
        </w:rPr>
      </w:pPr>
      <w:r w:rsidRPr="00905776">
        <w:rPr>
          <w:rFonts w:ascii="Verdana" w:hAnsi="Verdana"/>
          <w:b/>
        </w:rPr>
        <w:t xml:space="preserve">        </w:t>
      </w:r>
      <w:r>
        <w:rPr>
          <w:rFonts w:ascii="Verdana" w:hAnsi="Verdana"/>
          <w:b/>
        </w:rPr>
        <w:t xml:space="preserve">                               SPECIAL CHIEF SECRETARY TO GOVERNMENT</w:t>
      </w:r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05776">
        <w:rPr>
          <w:rFonts w:ascii="Verdana" w:hAnsi="Verdana" w:cs="Verdana"/>
        </w:rPr>
        <w:t>To</w:t>
      </w:r>
    </w:p>
    <w:p w:rsidR="00486CEF" w:rsidRPr="00905776" w:rsidRDefault="00486CEF" w:rsidP="00486CE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05776">
        <w:rPr>
          <w:rFonts w:ascii="Verdana" w:hAnsi="Verdana"/>
        </w:rPr>
        <w:t>The Commissioner of Prohibition and Excise, A.P., Vijayawada.</w:t>
      </w:r>
      <w:proofErr w:type="gramEnd"/>
      <w:r w:rsidRPr="00905776">
        <w:rPr>
          <w:rFonts w:ascii="Verdana" w:hAnsi="Verdana"/>
        </w:rPr>
        <w:t xml:space="preserve"> </w:t>
      </w:r>
    </w:p>
    <w:p w:rsidR="00486CEF" w:rsidRPr="00905776" w:rsidRDefault="00486CEF" w:rsidP="00486CE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05776">
        <w:rPr>
          <w:rFonts w:ascii="Verdana" w:hAnsi="Verdana"/>
        </w:rPr>
        <w:t>The Managing Director, A.P. State Beverages Corporation Limited, Vijayawada.</w:t>
      </w:r>
      <w:proofErr w:type="gramEnd"/>
      <w:r w:rsidRPr="00905776">
        <w:rPr>
          <w:rFonts w:ascii="Verdana" w:hAnsi="Verdana"/>
        </w:rPr>
        <w:t xml:space="preserve"> </w:t>
      </w:r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u w:val="single"/>
        </w:rPr>
      </w:pPr>
      <w:r w:rsidRPr="00905776">
        <w:rPr>
          <w:rFonts w:ascii="Verdana" w:hAnsi="Verdana" w:cs="Verdana,Bold"/>
          <w:b/>
          <w:bCs/>
          <w:u w:val="single"/>
        </w:rPr>
        <w:t>Copy to:</w:t>
      </w:r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905776">
        <w:rPr>
          <w:rFonts w:ascii="Verdana" w:hAnsi="Verdana" w:cs="Verdana"/>
        </w:rPr>
        <w:t xml:space="preserve">The P.S. to the </w:t>
      </w:r>
      <w:proofErr w:type="spellStart"/>
      <w:r w:rsidRPr="00905776">
        <w:rPr>
          <w:rFonts w:ascii="Verdana" w:hAnsi="Verdana" w:cs="Verdana"/>
        </w:rPr>
        <w:t>Prl</w:t>
      </w:r>
      <w:proofErr w:type="spellEnd"/>
      <w:r w:rsidRPr="00905776">
        <w:rPr>
          <w:rFonts w:ascii="Verdana" w:hAnsi="Verdana" w:cs="Verdana"/>
        </w:rPr>
        <w:t>. Secretary to Chief Minister.</w:t>
      </w:r>
      <w:proofErr w:type="gramEnd"/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905776">
        <w:rPr>
          <w:rFonts w:ascii="Verdana" w:hAnsi="Verdana" w:cs="Verdana"/>
        </w:rPr>
        <w:t xml:space="preserve">The P.S. to the </w:t>
      </w:r>
      <w:proofErr w:type="spellStart"/>
      <w:r w:rsidRPr="00905776">
        <w:rPr>
          <w:rFonts w:ascii="Verdana" w:hAnsi="Verdana" w:cs="Verdana"/>
        </w:rPr>
        <w:t>Hon’ble</w:t>
      </w:r>
      <w:proofErr w:type="spellEnd"/>
      <w:r w:rsidRPr="00905776">
        <w:rPr>
          <w:rFonts w:ascii="Verdana" w:hAnsi="Verdana" w:cs="Verdana"/>
        </w:rPr>
        <w:t xml:space="preserve"> Deputy Chief Minister (Excise &amp; CT).</w:t>
      </w:r>
      <w:proofErr w:type="gramEnd"/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905776">
        <w:rPr>
          <w:rFonts w:ascii="Verdana" w:hAnsi="Verdana" w:cs="Verdana"/>
        </w:rPr>
        <w:t>The P.S. to the Special Chief Secretary to Govt. Revenue (CT, P&amp;E, R&amp;S).</w:t>
      </w:r>
      <w:proofErr w:type="gramEnd"/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905776">
        <w:rPr>
          <w:rFonts w:ascii="Verdana" w:hAnsi="Verdana" w:cs="Verdana"/>
        </w:rPr>
        <w:t>SC/SF.</w:t>
      </w:r>
      <w:proofErr w:type="gramEnd"/>
    </w:p>
    <w:p w:rsidR="00486CEF" w:rsidRPr="00905776" w:rsidRDefault="00486CEF" w:rsidP="00486C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86CEF" w:rsidRPr="00D969CF" w:rsidRDefault="00486CEF" w:rsidP="00486C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</w:rPr>
      </w:pPr>
      <w:r w:rsidRPr="00D969CF">
        <w:rPr>
          <w:rFonts w:ascii="Verdana" w:hAnsi="Verdana" w:cs="Verdana,Bold"/>
          <w:bCs/>
        </w:rPr>
        <w:t xml:space="preserve">// </w:t>
      </w:r>
      <w:proofErr w:type="gramStart"/>
      <w:r w:rsidRPr="00D969CF">
        <w:rPr>
          <w:rFonts w:ascii="Verdana" w:hAnsi="Verdana" w:cs="Verdana,Bold"/>
          <w:bCs/>
        </w:rPr>
        <w:t>FORWARDED :</w:t>
      </w:r>
      <w:proofErr w:type="gramEnd"/>
      <w:r w:rsidRPr="00D969CF">
        <w:rPr>
          <w:rFonts w:ascii="Verdana" w:hAnsi="Verdana" w:cs="Verdana,Bold"/>
          <w:bCs/>
        </w:rPr>
        <w:t>: BY ORDER //</w:t>
      </w:r>
    </w:p>
    <w:p w:rsidR="00486CEF" w:rsidRPr="00D969CF" w:rsidRDefault="00486CEF" w:rsidP="00486C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</w:rPr>
      </w:pPr>
    </w:p>
    <w:p w:rsidR="00486CEF" w:rsidRPr="00D969CF" w:rsidRDefault="00486CEF" w:rsidP="00486C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</w:rPr>
      </w:pPr>
    </w:p>
    <w:p w:rsidR="00486CEF" w:rsidRPr="00D969CF" w:rsidRDefault="00486CEF" w:rsidP="00486CEF">
      <w:pPr>
        <w:jc w:val="right"/>
        <w:rPr>
          <w:rFonts w:ascii="Verdana" w:hAnsi="Verdana" w:cs="Verdana,Bold"/>
          <w:bCs/>
        </w:rPr>
      </w:pPr>
      <w:r w:rsidRPr="00D969CF">
        <w:rPr>
          <w:rFonts w:ascii="Verdana" w:hAnsi="Verdana" w:cs="Verdana,Bold"/>
          <w:bCs/>
        </w:rPr>
        <w:t>SECTION OFFICER</w:t>
      </w:r>
    </w:p>
    <w:p w:rsidR="00486CEF" w:rsidRDefault="00486CEF" w:rsidP="00486CEF">
      <w:pPr>
        <w:tabs>
          <w:tab w:val="left" w:pos="180"/>
        </w:tabs>
        <w:spacing w:line="360" w:lineRule="auto"/>
        <w:contextualSpacing/>
        <w:jc w:val="both"/>
      </w:pPr>
      <w:r>
        <w:t xml:space="preserve"> </w:t>
      </w:r>
    </w:p>
    <w:p w:rsidR="00486CEF" w:rsidRDefault="00486CEF" w:rsidP="00486CEF"/>
    <w:sectPr w:rsidR="00486CEF" w:rsidSect="00342A89">
      <w:pgSz w:w="12240" w:h="20160" w:code="5"/>
      <w:pgMar w:top="1440" w:right="1440" w:bottom="1440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7A"/>
    <w:multiLevelType w:val="hybridMultilevel"/>
    <w:tmpl w:val="03D8CD8A"/>
    <w:lvl w:ilvl="0" w:tplc="B0E2759E">
      <w:start w:val="1"/>
      <w:numFmt w:val="decimal"/>
      <w:lvlText w:val="%1."/>
      <w:lvlJc w:val="left"/>
      <w:pPr>
        <w:ind w:left="1232" w:hanging="29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D1649D2E">
      <w:numFmt w:val="bullet"/>
      <w:lvlText w:val="•"/>
      <w:lvlJc w:val="left"/>
      <w:pPr>
        <w:ind w:left="2080" w:hanging="296"/>
      </w:pPr>
      <w:rPr>
        <w:rFonts w:hint="default"/>
        <w:lang w:val="en-US" w:eastAsia="en-US" w:bidi="ar-SA"/>
      </w:rPr>
    </w:lvl>
    <w:lvl w:ilvl="2" w:tplc="82A6B8A4">
      <w:numFmt w:val="bullet"/>
      <w:lvlText w:val="•"/>
      <w:lvlJc w:val="left"/>
      <w:pPr>
        <w:ind w:left="2920" w:hanging="296"/>
      </w:pPr>
      <w:rPr>
        <w:rFonts w:hint="default"/>
        <w:lang w:val="en-US" w:eastAsia="en-US" w:bidi="ar-SA"/>
      </w:rPr>
    </w:lvl>
    <w:lvl w:ilvl="3" w:tplc="17800B02">
      <w:numFmt w:val="bullet"/>
      <w:lvlText w:val="•"/>
      <w:lvlJc w:val="left"/>
      <w:pPr>
        <w:ind w:left="3760" w:hanging="296"/>
      </w:pPr>
      <w:rPr>
        <w:rFonts w:hint="default"/>
        <w:lang w:val="en-US" w:eastAsia="en-US" w:bidi="ar-SA"/>
      </w:rPr>
    </w:lvl>
    <w:lvl w:ilvl="4" w:tplc="86225936">
      <w:numFmt w:val="bullet"/>
      <w:lvlText w:val="•"/>
      <w:lvlJc w:val="left"/>
      <w:pPr>
        <w:ind w:left="4600" w:hanging="296"/>
      </w:pPr>
      <w:rPr>
        <w:rFonts w:hint="default"/>
        <w:lang w:val="en-US" w:eastAsia="en-US" w:bidi="ar-SA"/>
      </w:rPr>
    </w:lvl>
    <w:lvl w:ilvl="5" w:tplc="F93ADC9E">
      <w:numFmt w:val="bullet"/>
      <w:lvlText w:val="•"/>
      <w:lvlJc w:val="left"/>
      <w:pPr>
        <w:ind w:left="5440" w:hanging="296"/>
      </w:pPr>
      <w:rPr>
        <w:rFonts w:hint="default"/>
        <w:lang w:val="en-US" w:eastAsia="en-US" w:bidi="ar-SA"/>
      </w:rPr>
    </w:lvl>
    <w:lvl w:ilvl="6" w:tplc="27E4DB62">
      <w:numFmt w:val="bullet"/>
      <w:lvlText w:val="•"/>
      <w:lvlJc w:val="left"/>
      <w:pPr>
        <w:ind w:left="6280" w:hanging="296"/>
      </w:pPr>
      <w:rPr>
        <w:rFonts w:hint="default"/>
        <w:lang w:val="en-US" w:eastAsia="en-US" w:bidi="ar-SA"/>
      </w:rPr>
    </w:lvl>
    <w:lvl w:ilvl="7" w:tplc="BAE0B29C">
      <w:numFmt w:val="bullet"/>
      <w:lvlText w:val="•"/>
      <w:lvlJc w:val="left"/>
      <w:pPr>
        <w:ind w:left="7120" w:hanging="296"/>
      </w:pPr>
      <w:rPr>
        <w:rFonts w:hint="default"/>
        <w:lang w:val="en-US" w:eastAsia="en-US" w:bidi="ar-SA"/>
      </w:rPr>
    </w:lvl>
    <w:lvl w:ilvl="8" w:tplc="817870A6">
      <w:numFmt w:val="bullet"/>
      <w:lvlText w:val="•"/>
      <w:lvlJc w:val="left"/>
      <w:pPr>
        <w:ind w:left="7960" w:hanging="296"/>
      </w:pPr>
      <w:rPr>
        <w:rFonts w:hint="default"/>
        <w:lang w:val="en-US" w:eastAsia="en-US" w:bidi="ar-SA"/>
      </w:rPr>
    </w:lvl>
  </w:abstractNum>
  <w:abstractNum w:abstractNumId="1">
    <w:nsid w:val="527E786F"/>
    <w:multiLevelType w:val="hybridMultilevel"/>
    <w:tmpl w:val="A84021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F73EC"/>
    <w:multiLevelType w:val="hybridMultilevel"/>
    <w:tmpl w:val="FB9056AE"/>
    <w:lvl w:ilvl="0" w:tplc="1F28C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6CEF"/>
    <w:rsid w:val="00000835"/>
    <w:rsid w:val="000C0AA4"/>
    <w:rsid w:val="001019D1"/>
    <w:rsid w:val="002566C3"/>
    <w:rsid w:val="003011F8"/>
    <w:rsid w:val="00342A89"/>
    <w:rsid w:val="00441D60"/>
    <w:rsid w:val="00486CEF"/>
    <w:rsid w:val="004A40F6"/>
    <w:rsid w:val="00550453"/>
    <w:rsid w:val="008042ED"/>
    <w:rsid w:val="00867073"/>
    <w:rsid w:val="008F164F"/>
    <w:rsid w:val="00910207"/>
    <w:rsid w:val="009832EE"/>
    <w:rsid w:val="00A31E66"/>
    <w:rsid w:val="00AA714A"/>
    <w:rsid w:val="00B0590F"/>
    <w:rsid w:val="00CF22EB"/>
    <w:rsid w:val="00D15043"/>
    <w:rsid w:val="00D44515"/>
    <w:rsid w:val="00E27A99"/>
    <w:rsid w:val="00E6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6CE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86CEF"/>
    <w:rPr>
      <w:rFonts w:ascii="Verdana" w:eastAsia="Verdana" w:hAnsi="Verdana" w:cs="Verdana"/>
      <w:lang w:bidi="en-US"/>
    </w:rPr>
  </w:style>
  <w:style w:type="paragraph" w:styleId="ListParagraph">
    <w:name w:val="List Paragraph"/>
    <w:basedOn w:val="Normal"/>
    <w:uiPriority w:val="1"/>
    <w:qFormat/>
    <w:rsid w:val="00486CE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osman264@gmail.com</dc:creator>
  <cp:keywords/>
  <dc:description/>
  <cp:lastModifiedBy>osman264@gmail.com</cp:lastModifiedBy>
  <cp:revision>20</cp:revision>
  <cp:lastPrinted>2020-09-18T14:29:00Z</cp:lastPrinted>
  <dcterms:created xsi:type="dcterms:W3CDTF">2020-09-17T12:43:00Z</dcterms:created>
  <dcterms:modified xsi:type="dcterms:W3CDTF">2020-09-18T14:41:00Z</dcterms:modified>
</cp:coreProperties>
</file>